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</w:tblGrid>
      <w:tr w:rsidR="008D36DF" w:rsidRPr="00A10E70" w:rsidTr="007018F5">
        <w:trPr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</w:rPr>
              <w:t>Osobiście, osoba posiadająca pełną zdolność do czynności prawnych</w:t>
            </w:r>
          </w:p>
        </w:tc>
      </w:tr>
      <w:tr w:rsidR="008D36DF" w:rsidRPr="00A10E70" w:rsidTr="007018F5">
        <w:trPr>
          <w:trHeight w:hRule="exact" w:val="68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</w:rPr>
              <w:t>Wydział Architektury, Urbanistyki i Budownictwa, pokój 101 (I piętro),  ul. Ptasia 6A, 58-500 Jelenia Góra</w:t>
            </w:r>
          </w:p>
        </w:tc>
      </w:tr>
      <w:tr w:rsidR="008D36DF" w:rsidRPr="00A10E70" w:rsidTr="007018F5"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 xml:space="preserve">Wniosek o ustalenie warunków zabudowy / ustalenie lokalizacji inwestycji celu publicznego zgodny ze wzorem wprowadzonym rozporządzeniem Ministra rozwoju i technologii </w:t>
            </w:r>
            <w:r>
              <w:rPr>
                <w:rFonts w:ascii="Lato" w:hAnsi="Lato"/>
              </w:rPr>
              <w:t>z dnia 20 grudnia 2021 r. w sprawie określenia wzoru formularza wniosku o ustalenie lokalizacji inwestycji celu publicznego albo warunków zabudowy (Dz.U.2021.2462 )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Potwierdzenie uiszczenia opłaty skarbowej jeśli jest wymagana (z opłaty zwolniony jest między innymi właściciel lub użytkownik wieczysty nieruchomości, której dotyczy wniosek);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Mapa zasadnicza lub, w przypadku jej braku, mapa katastralna w skali 1:500 lub 1:1000, a w stosunku do inwestycji liniowych również w skali 1:2000 (do nabycia w Referacie Dokumentacji Geodezyjnej i Kartograficznej, ul. Ptasia 2-3 – II piętro, 58-500 Jelenia Góra) z oznaczeniem terenu objętego wnioskiem i oznaczeniem obszaru, na który inwestycja będzie oddziaływać – 1 egzemplarz;                                                                                       Mapa powinna obejmować teren wokół działki objętej wnioskiem, wyznaczony (od granic tej działki) w odległości nie mniejszej niż trzykrotna szerokość frontu działki objętej wnioskiem, nie mniejszej jednak niż 50 metrów. Na obszarze tym przeprowadzona zostanie analiza urbanistyczna w oparciu o przepisy rozporządzenia Ministra Infrastruktury z dnia 26 sierpnia 2003 r.  w sprawie sposobu ustalania wymagań dotyczących nowej zabudowy i zagospodarowania terenu w przypadku braku miejscowego planu zagospodarowania przestrzennego Dz.U.2003.164.1588),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ascii="Lato" w:hAnsi="Lato" w:cs="Lato"/>
              </w:rPr>
              <w:t>charakterystykę inwestycji, obejmującą: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 xml:space="preserve">a) określenie zapotrzebowania na wodę, energię oraz sposobu odprowadzania lub oczyszczania ścieków, a także innych potrzeb w zakresie infrastruktury technicznej, a w </w:t>
            </w:r>
            <w:r>
              <w:rPr>
                <w:rFonts w:ascii="Lato" w:hAnsi="Lato" w:cs="Lato"/>
              </w:rPr>
              <w:lastRenderedPageBreak/>
              <w:t>razie potrzeby również sposobu unieszkodliwiania odpadów (w tym kopie wstępnych zapewnień dostaw mediów lub zawarte umowy)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b) określenie planowanego sposobu zagospodarowania terenu oraz charakterystyki zabudowy i zagospodarowania terenu, w tym przeznaczenia i gabarytów projektowanych obiektów budowlanych oraz powierzchni terenu podlegającej przekształceniu, przedstawione w formie opisowej i graficznej (w tym koncepcja zagospodarowania terenu i koncepcja architektoniczna planowanej zabudowy)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c) określenie charakterystycznych parametrów technicznych inwestycji oraz dane charakteryzujące jej wpływ na środowisko;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ascii="Lato" w:hAnsi="Lato" w:cs="Lato"/>
              </w:rPr>
              <w:t>W przypadku lokalizacji składowiska odpadów: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a) docelową rzędną składowiska odpadów,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b) roczną i całkowitą ilość składowanych odpadów oraz rodzaje składowanych odpadów,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c) sposób gromadzenia, oczyszczania i odprowadzania ścieków,</w:t>
            </w:r>
          </w:p>
          <w:p w:rsidR="008D36DF" w:rsidRDefault="008D36DF" w:rsidP="00675DEA">
            <w:pPr>
              <w:ind w:left="720"/>
              <w:jc w:val="both"/>
            </w:pPr>
            <w:r>
              <w:rPr>
                <w:rFonts w:ascii="Lato" w:hAnsi="Lato" w:cs="Lato"/>
              </w:rPr>
              <w:t>d) sposób gromadzenia, oczyszczania i wykorzystywania lub unieszkodliwiania gazu składowiskowego.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</w:rPr>
              <w:t>Decyzja o środowiskowych uwarunkowaniach, jeżeli jest wymagana na podstawie przepisów odrębnych,</w:t>
            </w:r>
          </w:p>
          <w:p w:rsidR="008D36DF" w:rsidRDefault="008D36DF" w:rsidP="008D36DF">
            <w:pPr>
              <w:numPr>
                <w:ilvl w:val="0"/>
                <w:numId w:val="5"/>
              </w:numPr>
              <w:suppressAutoHyphens/>
            </w:pPr>
            <w:r>
              <w:rPr>
                <w:rFonts w:ascii="Lato" w:hAnsi="Lato" w:cs="Lato"/>
                <w:color w:val="000000"/>
              </w:rPr>
              <w:t>Orygina</w:t>
            </w:r>
            <w:r>
              <w:rPr>
                <w:rFonts w:ascii="Lato" w:hAnsi="Lato" w:cs="Lato"/>
              </w:rPr>
              <w:t>ł lub notarialny odpis pełnomocnictwa jeśli ustanowiono pełnomocnika wraz z potwierdzeniem uiszczenia opłaty skarbowej w wys. 17,00 zł.</w:t>
            </w:r>
          </w:p>
        </w:tc>
      </w:tr>
      <w:tr w:rsidR="008D36DF" w:rsidRPr="00A10E70" w:rsidTr="007018F5">
        <w:trPr>
          <w:trHeight w:hRule="exact" w:val="544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widowControl w:val="0"/>
              <w:autoSpaceDE w:val="0"/>
              <w:spacing w:after="20" w:line="210" w:lineRule="exact"/>
              <w:jc w:val="both"/>
            </w:pPr>
            <w:r>
              <w:rPr>
                <w:rFonts w:ascii="Lato" w:hAnsi="Lato" w:cs="Lato"/>
                <w:spacing w:val="1"/>
              </w:rPr>
              <w:t>598,00 zł</w:t>
            </w:r>
          </w:p>
        </w:tc>
      </w:tr>
      <w:tr w:rsidR="008D36DF" w:rsidRPr="00A10E70" w:rsidTr="007018F5">
        <w:trPr>
          <w:trHeight w:hRule="exact" w:val="1324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spacing w:after="0" w:line="240" w:lineRule="auto"/>
              <w:jc w:val="both"/>
            </w:pPr>
            <w:r>
              <w:rPr>
                <w:rFonts w:ascii="Lato" w:hAnsi="Lato" w:cs="Lato"/>
                <w:color w:val="222200"/>
              </w:rPr>
              <w:t>Bez zbędnej zwłoki, nie później niż w ciągu jednego miesiąca, a w bardziej skomplikowanych sprawach nie później niż dwa miesiące.  Do terminów nie wlicza się czasu dokonywania niezbędnych uzgodnień.</w:t>
            </w:r>
          </w:p>
        </w:tc>
      </w:tr>
      <w:tr w:rsidR="008D36DF" w:rsidRPr="00A10E70" w:rsidTr="007018F5">
        <w:trPr>
          <w:trHeight w:hRule="exact" w:val="1300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lastRenderedPageBreak/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D36DF" w:rsidRDefault="008D36DF" w:rsidP="00675DEA">
            <w:pPr>
              <w:pStyle w:val="Akapitzlist"/>
              <w:snapToGrid w:val="0"/>
              <w:spacing w:after="0" w:line="240" w:lineRule="auto"/>
              <w:ind w:left="0"/>
              <w:jc w:val="both"/>
            </w:pPr>
          </w:p>
          <w:p w:rsidR="008D36DF" w:rsidRDefault="008D36DF" w:rsidP="008D36D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Fonts w:ascii="Lato" w:hAnsi="Lato" w:cs="Lato"/>
              </w:rPr>
              <w:t>Ustawa z dnia 14 czerwca 1960 r. – Kodeks postępowania administracyjnego (Dz. U. z 2021 r. poz. 735 z późn. zm.);</w:t>
            </w:r>
          </w:p>
          <w:p w:rsidR="008D36DF" w:rsidRDefault="008D36DF" w:rsidP="008D36DF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317" w:hanging="283"/>
              <w:jc w:val="both"/>
            </w:pPr>
            <w:r>
              <w:rPr>
                <w:rStyle w:val="Uwydatnienie"/>
                <w:rFonts w:ascii="Lato" w:hAnsi="Lato" w:cs="Lato"/>
                <w:i w:val="0"/>
                <w:iCs w:val="0"/>
              </w:rPr>
              <w:t>Ustawa z dnia 27 marca 2003 r. o planowaniu i zagospodarowaniu p</w:t>
            </w:r>
            <w:r w:rsidR="00871DA4">
              <w:rPr>
                <w:rStyle w:val="Uwydatnienie"/>
                <w:rFonts w:ascii="Lato" w:hAnsi="Lato" w:cs="Lato"/>
                <w:i w:val="0"/>
                <w:iCs w:val="0"/>
              </w:rPr>
              <w:t>rzestrzennym (Dz.U.2022.503</w:t>
            </w:r>
            <w:r>
              <w:rPr>
                <w:rStyle w:val="Uwydatnienie"/>
                <w:rFonts w:ascii="Lato" w:hAnsi="Lato" w:cs="Lato"/>
                <w:i w:val="0"/>
                <w:iCs w:val="0"/>
              </w:rPr>
              <w:t>).</w:t>
            </w:r>
          </w:p>
        </w:tc>
      </w:tr>
      <w:tr w:rsidR="008D36DF" w:rsidRPr="00A10E70" w:rsidTr="007018F5">
        <w:trPr>
          <w:trHeight w:hRule="exact" w:val="400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D36DF" w:rsidRDefault="008D36DF" w:rsidP="00675DEA">
            <w:pPr>
              <w:spacing w:after="0" w:line="240" w:lineRule="auto"/>
            </w:pPr>
            <w:r>
              <w:rPr>
                <w:rFonts w:ascii="Lato" w:hAnsi="Lato" w:cs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36DF" w:rsidRDefault="008D36DF" w:rsidP="008D36D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>Wniosek składa się osobiście w formie pisemnej lub w formie dokumentu elektronicznego, na zasadach określonych w ustawie z dnia 17 lutego 2005 r. o informatyzacji działalności podmiotów realizujących zadania publiczne.</w:t>
            </w:r>
          </w:p>
          <w:p w:rsidR="008D36DF" w:rsidRDefault="008D36DF" w:rsidP="008D36DF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jc w:val="both"/>
            </w:pPr>
            <w:r>
              <w:rPr>
                <w:rFonts w:ascii="Lato" w:hAnsi="Lato" w:cs="Lato"/>
              </w:rPr>
              <w:t xml:space="preserve">W imieniu osoby nieposiadającej zdolności do czynności prawnych lub posiadającej ograniczoną zdolność do czynności prawnych, wniosek składa rodzic, opiekun prawny lub kurator. </w:t>
            </w:r>
          </w:p>
          <w:p w:rsidR="008D36DF" w:rsidRDefault="008D36DF" w:rsidP="008D36D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17" w:hanging="317"/>
              <w:contextualSpacing/>
              <w:jc w:val="both"/>
            </w:pPr>
            <w:r>
              <w:rPr>
                <w:rFonts w:ascii="Lato" w:hAnsi="Lato" w:cs="Lato"/>
                <w:bCs/>
              </w:rPr>
              <w:t xml:space="preserve">Od uzyskanej decyzji służy stronom (w tym wnioskodawcy) prawo wniesienia odwołania do </w:t>
            </w:r>
            <w:r>
              <w:rPr>
                <w:rFonts w:ascii="Lato" w:hAnsi="Lato" w:cs="Lato"/>
              </w:rPr>
              <w:t>Samorządowego Kolegium Odwoławczego w Jeleniej Górze (ul. Górna 10-11, 58-500 Jelenia Góra), za pośrednictwem Prezydenta Miasta Jeleniej Góry. Odwołanie należy złożyć  w pokoju 101 w budynku przy ul. Ptasiej 6A (I piętro).</w:t>
            </w:r>
          </w:p>
        </w:tc>
      </w:tr>
    </w:tbl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103EEE" w:rsidRDefault="00103EEE" w:rsidP="00103EEE">
      <w:pPr>
        <w:rPr>
          <w:rFonts w:ascii="Verdana" w:hAnsi="Verdana"/>
          <w:b/>
          <w:sz w:val="20"/>
          <w:szCs w:val="20"/>
        </w:rPr>
      </w:pPr>
    </w:p>
    <w:p w:rsidR="00B96427" w:rsidRDefault="00B96427" w:rsidP="00103EE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62"/>
        <w:gridCol w:w="6521"/>
      </w:tblGrid>
      <w:tr w:rsidR="00B96427" w:rsidTr="00B2336E"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Data utworzenia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A57DF6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2</w:t>
            </w:r>
            <w:r w:rsidR="00A57DF6">
              <w:rPr>
                <w:rFonts w:ascii="Lato" w:hAnsi="Lato" w:cs="Lato"/>
                <w:sz w:val="20"/>
                <w:szCs w:val="20"/>
              </w:rPr>
              <w:t>5</w:t>
            </w:r>
            <w:r>
              <w:rPr>
                <w:rFonts w:ascii="Lato" w:hAnsi="Lato" w:cs="Lato"/>
                <w:sz w:val="20"/>
                <w:szCs w:val="20"/>
              </w:rPr>
              <w:t>.04.2022</w:t>
            </w:r>
          </w:p>
        </w:tc>
      </w:tr>
      <w:tr w:rsidR="00B96427" w:rsidTr="00B2336E"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 xml:space="preserve">Zatwierdził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6427" w:rsidRDefault="00B96427" w:rsidP="00B2336E">
            <w:pPr>
              <w:snapToGrid w:val="0"/>
              <w:spacing w:after="0" w:line="240" w:lineRule="auto"/>
            </w:pPr>
            <w:r>
              <w:rPr>
                <w:rFonts w:ascii="Lato" w:hAnsi="Lato" w:cs="Lato"/>
                <w:sz w:val="20"/>
                <w:szCs w:val="20"/>
              </w:rPr>
              <w:t>Naczelnik Wydziału Architektury, Urbanistyki i Budownictwa</w:t>
            </w:r>
          </w:p>
        </w:tc>
      </w:tr>
    </w:tbl>
    <w:p w:rsidR="00B96427" w:rsidRPr="00103EEE" w:rsidRDefault="00B96427" w:rsidP="00103EEE">
      <w:pPr>
        <w:rPr>
          <w:rFonts w:ascii="Verdana" w:hAnsi="Verdana"/>
          <w:b/>
          <w:sz w:val="20"/>
          <w:szCs w:val="20"/>
        </w:rPr>
      </w:pPr>
    </w:p>
    <w:sectPr w:rsidR="00B96427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8F" w:rsidRDefault="0019698F" w:rsidP="00CF21BE">
      <w:pPr>
        <w:spacing w:after="0" w:line="240" w:lineRule="auto"/>
      </w:pPr>
      <w:r>
        <w:separator/>
      </w:r>
    </w:p>
  </w:endnote>
  <w:endnote w:type="continuationSeparator" w:id="1">
    <w:p w:rsidR="0019698F" w:rsidRDefault="0019698F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8F" w:rsidRDefault="0019698F" w:rsidP="00CF21BE">
      <w:pPr>
        <w:spacing w:after="0" w:line="240" w:lineRule="auto"/>
      </w:pPr>
      <w:r>
        <w:separator/>
      </w:r>
    </w:p>
  </w:footnote>
  <w:footnote w:type="continuationSeparator" w:id="1">
    <w:p w:rsidR="0019698F" w:rsidRDefault="0019698F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85267B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112395</wp:posOffset>
          </wp:positionV>
          <wp:extent cx="973424" cy="972000"/>
          <wp:effectExtent l="0" t="0" r="0" b="0"/>
          <wp:wrapNone/>
          <wp:docPr id="1040" name="Picture 1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0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4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0C3891" w:rsidRPr="00A10E70" w:rsidRDefault="008D36DF" w:rsidP="005F716D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  <w:r>
            <w:rPr>
              <w:b/>
              <w:bCs/>
              <w:color w:val="222200"/>
              <w:sz w:val="32"/>
              <w:szCs w:val="32"/>
            </w:rPr>
            <w:t>USTALENIE WARUNKÓW ZABUDOWY I ZAGOSPODAROWANIA TERENU / LOKALIZACJI INWESTYCJI CELU PUBLICZNEGO</w:t>
          </w: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Calibri" w:hAnsi="Lato" w:cs="Lato" w:hint="default"/>
        <w:i w:val="0"/>
        <w:iCs w:val="0"/>
        <w:color w:val="000000"/>
        <w:sz w:val="22"/>
        <w:szCs w:val="22"/>
        <w:u w:val="none"/>
        <w:lang w:val="pl-PL" w:bidi="ar-S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i w:val="0"/>
        <w:iCs w:val="0"/>
      </w:rPr>
    </w:lvl>
  </w:abstractNum>
  <w:abstractNum w:abstractNumId="3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97302"/>
    <w:rsid w:val="000A4800"/>
    <w:rsid w:val="000C3891"/>
    <w:rsid w:val="000D4EA6"/>
    <w:rsid w:val="000E7F76"/>
    <w:rsid w:val="00103EEE"/>
    <w:rsid w:val="00132E5E"/>
    <w:rsid w:val="00165742"/>
    <w:rsid w:val="0019698F"/>
    <w:rsid w:val="001E0590"/>
    <w:rsid w:val="001F18AC"/>
    <w:rsid w:val="001F1EF3"/>
    <w:rsid w:val="00202B4E"/>
    <w:rsid w:val="00243E87"/>
    <w:rsid w:val="002458CA"/>
    <w:rsid w:val="00261159"/>
    <w:rsid w:val="00270BD4"/>
    <w:rsid w:val="002D25E7"/>
    <w:rsid w:val="003D6196"/>
    <w:rsid w:val="00440E47"/>
    <w:rsid w:val="00450AE4"/>
    <w:rsid w:val="00450C24"/>
    <w:rsid w:val="00467C9B"/>
    <w:rsid w:val="00491473"/>
    <w:rsid w:val="004938B0"/>
    <w:rsid w:val="004D2B22"/>
    <w:rsid w:val="00504CAE"/>
    <w:rsid w:val="00506CCE"/>
    <w:rsid w:val="00507287"/>
    <w:rsid w:val="00593EE1"/>
    <w:rsid w:val="005B206C"/>
    <w:rsid w:val="005D2CAE"/>
    <w:rsid w:val="005F716D"/>
    <w:rsid w:val="00605E53"/>
    <w:rsid w:val="006454EB"/>
    <w:rsid w:val="006C7EA6"/>
    <w:rsid w:val="006E6F28"/>
    <w:rsid w:val="006E7672"/>
    <w:rsid w:val="007018F5"/>
    <w:rsid w:val="00752DD0"/>
    <w:rsid w:val="00836A33"/>
    <w:rsid w:val="0085267B"/>
    <w:rsid w:val="00871DA4"/>
    <w:rsid w:val="008A2D5E"/>
    <w:rsid w:val="008B318F"/>
    <w:rsid w:val="008D36DF"/>
    <w:rsid w:val="008E4BCB"/>
    <w:rsid w:val="009847AD"/>
    <w:rsid w:val="009C744D"/>
    <w:rsid w:val="00A10E70"/>
    <w:rsid w:val="00A41C39"/>
    <w:rsid w:val="00A47D9D"/>
    <w:rsid w:val="00A57DF6"/>
    <w:rsid w:val="00A60A34"/>
    <w:rsid w:val="00A8609E"/>
    <w:rsid w:val="00A961B4"/>
    <w:rsid w:val="00AD762C"/>
    <w:rsid w:val="00B033DD"/>
    <w:rsid w:val="00B920E3"/>
    <w:rsid w:val="00B96427"/>
    <w:rsid w:val="00BA5854"/>
    <w:rsid w:val="00BA7938"/>
    <w:rsid w:val="00BC15A2"/>
    <w:rsid w:val="00C72C60"/>
    <w:rsid w:val="00C9303C"/>
    <w:rsid w:val="00CC1BD1"/>
    <w:rsid w:val="00CD45CF"/>
    <w:rsid w:val="00CF21BE"/>
    <w:rsid w:val="00D0137D"/>
    <w:rsid w:val="00D4254A"/>
    <w:rsid w:val="00D705BA"/>
    <w:rsid w:val="00DA2B6E"/>
    <w:rsid w:val="00DB2D30"/>
    <w:rsid w:val="00DD18F8"/>
    <w:rsid w:val="00DE7FF2"/>
    <w:rsid w:val="00E335ED"/>
    <w:rsid w:val="00E64543"/>
    <w:rsid w:val="00E8217B"/>
    <w:rsid w:val="00E86051"/>
    <w:rsid w:val="00E95185"/>
    <w:rsid w:val="00E968A8"/>
    <w:rsid w:val="00F7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qFormat/>
    <w:rsid w:val="00C72C60"/>
    <w:pPr>
      <w:ind w:left="720"/>
      <w:contextualSpacing/>
    </w:pPr>
  </w:style>
  <w:style w:type="character" w:styleId="Uwydatnienie">
    <w:name w:val="Emphasis"/>
    <w:qFormat/>
    <w:rsid w:val="00D0137D"/>
    <w:rPr>
      <w:i/>
      <w:iCs/>
    </w:rPr>
  </w:style>
  <w:style w:type="character" w:customStyle="1" w:styleId="WW8Num4z1">
    <w:name w:val="WW8Num4z1"/>
    <w:rsid w:val="00D0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0B-E99C-4C0A-9586-69870F55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4436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17</cp:revision>
  <cp:lastPrinted>2022-04-04T07:14:00Z</cp:lastPrinted>
  <dcterms:created xsi:type="dcterms:W3CDTF">2022-04-20T11:01:00Z</dcterms:created>
  <dcterms:modified xsi:type="dcterms:W3CDTF">2022-04-25T09:48:00Z</dcterms:modified>
</cp:coreProperties>
</file>