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ascii="Verdana" w:hAnsi="Verdana"/>
          <w:b/>
          <w:bCs/>
          <w:sz w:val="20"/>
          <w:szCs w:val="20"/>
        </w:rPr>
        <w:t>Zadanie I :</w:t>
      </w:r>
    </w:p>
    <w:p>
      <w:pPr>
        <w:pStyle w:val="Normal"/>
        <w:rPr/>
      </w:pPr>
      <w:r>
        <w:rPr>
          <w:rFonts w:ascii="Verdana" w:hAnsi="Verdana"/>
          <w:b/>
          <w:bCs/>
          <w:sz w:val="20"/>
          <w:szCs w:val="20"/>
        </w:rPr>
        <w:t>Szkoła Podstawowa nr 11, ul. Moniuszki 9, 58-506 Jelenia Góra</w:t>
      </w:r>
    </w:p>
    <w:p>
      <w:pPr>
        <w:pStyle w:val="Normal"/>
        <w:rPr>
          <w:rFonts w:ascii="Verdana" w:hAnsi="Verdana"/>
          <w:b/>
          <w:b/>
          <w:bCs/>
          <w:sz w:val="20"/>
          <w:szCs w:val="20"/>
        </w:rPr>
      </w:pPr>
      <w:r>
        <w:rPr>
          <w:rFonts w:ascii="Verdana" w:hAnsi="Verdana"/>
          <w:b/>
          <w:bCs/>
          <w:sz w:val="20"/>
          <w:szCs w:val="20"/>
        </w:rPr>
        <w:t>(dz. nr 6/7, AM 17, Obręb 0060)</w:t>
      </w:r>
    </w:p>
    <w:p>
      <w:pPr>
        <w:pStyle w:val="Normal"/>
        <w:rPr>
          <w:rFonts w:ascii="Verdana" w:hAnsi="Verdana"/>
          <w:sz w:val="20"/>
          <w:szCs w:val="20"/>
        </w:rPr>
      </w:pPr>
      <w:r>
        <w:rPr>
          <w:rFonts w:ascii="Verdana" w:hAnsi="Verdana"/>
          <w:sz w:val="20"/>
          <w:szCs w:val="20"/>
        </w:rPr>
      </w:r>
    </w:p>
    <w:p>
      <w:pPr>
        <w:pStyle w:val="Normal"/>
        <w:rPr/>
      </w:pPr>
      <w:r>
        <w:rPr>
          <w:rFonts w:ascii="Verdana" w:hAnsi="Verdana"/>
          <w:b/>
          <w:bCs/>
          <w:sz w:val="20"/>
          <w:szCs w:val="20"/>
        </w:rPr>
        <w:t>1. lokalizacja -</w:t>
      </w:r>
      <w:r>
        <w:rPr>
          <w:rFonts w:ascii="Verdana" w:hAnsi="Verdana"/>
          <w:sz w:val="20"/>
          <w:szCs w:val="20"/>
        </w:rPr>
        <w:t xml:space="preserve"> obecna lokalizacja pojemników na odpady jest niewłaściwa (zbyt blisko okien, nie jest zachowany odstęp 10 m, utrudniony jest odbiór odpadów, gdyż pojemniki są zastawiane parkującymi samochodami). Propozycja lokalizacji boksów na odpady znajduje się przy drugiej bramie od frontu szkoły</w:t>
      </w:r>
      <w:bookmarkStart w:id="0" w:name="__DdeLink__33_888528324"/>
      <w:r>
        <w:rPr>
          <w:rFonts w:ascii="Verdana" w:hAnsi="Verdana"/>
          <w:sz w:val="20"/>
          <w:szCs w:val="20"/>
        </w:rPr>
        <w:t xml:space="preserve"> – proponowana lokalizacja przedstawiona  kolorem zielonym na załączonej mapie </w:t>
      </w:r>
      <w:bookmarkEnd w:id="0"/>
      <w:r>
        <w:rPr>
          <w:rFonts w:ascii="Verdana" w:hAnsi="Verdana"/>
          <w:sz w:val="20"/>
          <w:szCs w:val="20"/>
        </w:rPr>
        <w:t>.</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b/>
          <w:bCs/>
          <w:sz w:val="20"/>
          <w:szCs w:val="20"/>
        </w:rPr>
        <w:t>2. dojazd do punktu i zakres robót -</w:t>
      </w:r>
      <w:r>
        <w:rPr>
          <w:rFonts w:ascii="Verdana" w:hAnsi="Verdana"/>
          <w:sz w:val="20"/>
          <w:szCs w:val="20"/>
        </w:rPr>
        <w:t xml:space="preserve"> dojazd do nowego punktu jest dobry, prowadzi przez oddzielną bramę wjazdową co wyklucza kolizję z autami odwożącymi dzieci do szkoły. Wjazd szeroką bramą, ciąg jezdny szeroki, możliwość wykręcenia pojazdu odbierającego odpady. Niezbędna przebudowa krawężnika, utwardzenie gruntu (obecnie trawnik), możliwa kolizja z drzewem – świerk,</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b/>
          <w:bCs/>
          <w:sz w:val="20"/>
          <w:szCs w:val="20"/>
        </w:rPr>
        <w:t>3. dostępny teren -</w:t>
      </w:r>
      <w:r>
        <w:rPr>
          <w:rFonts w:ascii="Verdana" w:hAnsi="Verdana"/>
          <w:sz w:val="20"/>
          <w:szCs w:val="20"/>
        </w:rPr>
        <w:t xml:space="preserve"> dostępne miejsce ok. 7,5 m x 10 m,</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b/>
          <w:bCs/>
          <w:sz w:val="20"/>
          <w:szCs w:val="20"/>
        </w:rPr>
        <w:t>4. rozbiórka -</w:t>
      </w:r>
      <w:r>
        <w:rPr>
          <w:rFonts w:ascii="Verdana" w:hAnsi="Verdana"/>
          <w:sz w:val="20"/>
          <w:szCs w:val="20"/>
        </w:rPr>
        <w:t xml:space="preserve"> brak konieczności rozbiórki istniejącej infrastruktury,</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b/>
          <w:bCs/>
          <w:sz w:val="20"/>
          <w:szCs w:val="20"/>
        </w:rPr>
        <w:t>5. odległość co najmniej 10m od okien:</w:t>
      </w:r>
      <w:r>
        <w:rPr>
          <w:rFonts w:ascii="Verdana" w:hAnsi="Verdana"/>
          <w:sz w:val="20"/>
          <w:szCs w:val="20"/>
        </w:rPr>
        <w:t xml:space="preserve"> tak,</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b/>
          <w:bCs/>
          <w:sz w:val="20"/>
          <w:szCs w:val="20"/>
        </w:rPr>
        <w:t>6. 3m od granicy z sąsiednią działką:</w:t>
      </w:r>
      <w:r>
        <w:rPr>
          <w:rFonts w:ascii="Verdana" w:hAnsi="Verdana"/>
          <w:sz w:val="20"/>
          <w:szCs w:val="20"/>
        </w:rPr>
        <w:t xml:space="preserve"> możliwa konieczność zmniejszenia odległości od granicy działki na 1,5 m.</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b/>
          <w:bCs/>
          <w:sz w:val="20"/>
          <w:szCs w:val="20"/>
        </w:rPr>
        <w:t>7. odległość miejsc na pojemniki i kontenery nie wynosi więcej niż 80m od najdalszego wejścia do obsługiwanego budynku:</w:t>
      </w:r>
      <w:r>
        <w:rPr>
          <w:rFonts w:ascii="Verdana" w:hAnsi="Verdana"/>
          <w:sz w:val="20"/>
          <w:szCs w:val="20"/>
        </w:rPr>
        <w:t xml:space="preserve"> najdalsze wejście w odległości zbliżonej do 80m.</w:t>
      </w:r>
    </w:p>
    <w:p>
      <w:pPr>
        <w:pStyle w:val="Normal"/>
        <w:rPr>
          <w:rFonts w:ascii="Verdana" w:hAnsi="Verdana"/>
          <w:sz w:val="20"/>
          <w:szCs w:val="20"/>
        </w:rPr>
      </w:pPr>
      <w:r>
        <w:rPr>
          <w:rFonts w:ascii="Verdana" w:hAnsi="Verdana"/>
          <w:sz w:val="20"/>
          <w:szCs w:val="20"/>
        </w:rPr>
      </w:r>
    </w:p>
    <w:p>
      <w:pPr>
        <w:pStyle w:val="Normal"/>
        <w:rPr>
          <w:rFonts w:ascii="Verdana" w:hAnsi="Verdana"/>
          <w:b/>
          <w:b/>
          <w:bCs/>
          <w:sz w:val="20"/>
          <w:szCs w:val="20"/>
        </w:rPr>
      </w:pPr>
      <w:r>
        <w:rPr>
          <w:rFonts w:ascii="Verdana" w:hAnsi="Verdana"/>
          <w:b/>
          <w:bCs/>
          <w:sz w:val="20"/>
          <w:szCs w:val="20"/>
        </w:rPr>
        <w:t>8. obecnie szkoła korzysta z następujących pojemników:</w:t>
      </w:r>
    </w:p>
    <w:p>
      <w:pPr>
        <w:pStyle w:val="Normal"/>
        <w:rPr>
          <w:rFonts w:ascii="Verdana" w:hAnsi="Verdana"/>
          <w:sz w:val="20"/>
          <w:szCs w:val="20"/>
        </w:rPr>
      </w:pPr>
      <w:r>
        <w:rPr>
          <w:rFonts w:ascii="Verdana" w:hAnsi="Verdana"/>
          <w:sz w:val="20"/>
          <w:szCs w:val="20"/>
        </w:rPr>
        <w:t xml:space="preserve">- 2 pojemniki na zmieszane o pojemności 1100l, </w:t>
      </w:r>
    </w:p>
    <w:p>
      <w:pPr>
        <w:pStyle w:val="Normal"/>
        <w:rPr>
          <w:rFonts w:ascii="Verdana" w:hAnsi="Verdana"/>
          <w:sz w:val="20"/>
          <w:szCs w:val="20"/>
        </w:rPr>
      </w:pPr>
      <w:r>
        <w:rPr>
          <w:rFonts w:ascii="Verdana" w:hAnsi="Verdana"/>
          <w:sz w:val="20"/>
          <w:szCs w:val="20"/>
        </w:rPr>
        <w:t xml:space="preserve">- 2 pojemniki na szkło o pojemności 1100l, </w:t>
      </w:r>
    </w:p>
    <w:p>
      <w:pPr>
        <w:pStyle w:val="Normal"/>
        <w:rPr>
          <w:rFonts w:ascii="Verdana" w:hAnsi="Verdana"/>
          <w:sz w:val="20"/>
          <w:szCs w:val="20"/>
        </w:rPr>
      </w:pPr>
      <w:r>
        <w:rPr>
          <w:rFonts w:ascii="Verdana" w:hAnsi="Verdana"/>
          <w:sz w:val="20"/>
          <w:szCs w:val="20"/>
        </w:rPr>
        <w:t>- 1 pojemnik na tworzywa sztuczne o pojemności 1100l,</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b/>
          <w:b/>
          <w:bCs/>
          <w:sz w:val="20"/>
          <w:szCs w:val="20"/>
        </w:rPr>
      </w:pPr>
      <w:r>
        <w:rPr>
          <w:rFonts w:ascii="Verdana" w:hAnsi="Verdana"/>
          <w:b/>
          <w:bCs/>
          <w:sz w:val="20"/>
          <w:szCs w:val="20"/>
        </w:rPr>
        <w:t>9. ilość osób korzystających z pojemników:</w:t>
      </w:r>
    </w:p>
    <w:p>
      <w:pPr>
        <w:pStyle w:val="Normal"/>
        <w:rPr>
          <w:rFonts w:ascii="Verdana" w:hAnsi="Verdana"/>
          <w:color w:val="000000"/>
          <w:sz w:val="20"/>
          <w:szCs w:val="20"/>
        </w:rPr>
      </w:pPr>
      <w:r>
        <w:rPr>
          <w:rFonts w:ascii="Verdana" w:hAnsi="Verdana"/>
          <w:color w:val="000000"/>
          <w:sz w:val="20"/>
          <w:szCs w:val="20"/>
        </w:rPr>
        <w:t>- ilość uczących się dzieci (informacja z Wydziału Edukacji i Sportu): 1098</w:t>
      </w:r>
    </w:p>
    <w:p>
      <w:pPr>
        <w:pStyle w:val="Normal"/>
        <w:rPr>
          <w:rFonts w:ascii="Verdana" w:hAnsi="Verdana"/>
          <w:color w:val="000000"/>
          <w:sz w:val="20"/>
          <w:szCs w:val="20"/>
        </w:rPr>
      </w:pPr>
      <w:r>
        <w:rPr>
          <w:rFonts w:ascii="Verdana" w:hAnsi="Verdana"/>
          <w:color w:val="000000"/>
          <w:sz w:val="20"/>
          <w:szCs w:val="20"/>
        </w:rPr>
        <w:t>- ilość zatrudnionych pracowników (wykazanych w deklaracji): 136</w:t>
      </w:r>
    </w:p>
    <w:p>
      <w:pPr>
        <w:pStyle w:val="Normal"/>
        <w:rPr>
          <w:rFonts w:ascii="Verdana" w:hAnsi="Verdana"/>
          <w:color w:val="000000"/>
          <w:sz w:val="20"/>
          <w:szCs w:val="20"/>
        </w:rPr>
      </w:pPr>
      <w:r>
        <w:rPr>
          <w:rFonts w:ascii="Verdana" w:hAnsi="Verdana"/>
          <w:color w:val="000000"/>
          <w:sz w:val="20"/>
          <w:szCs w:val="20"/>
        </w:rPr>
        <w:t xml:space="preserve">- łącznie średnia ilość osób korzystających z punktu: </w:t>
      </w:r>
      <w:r>
        <w:rPr>
          <w:rFonts w:ascii="Verdana" w:hAnsi="Verdana"/>
          <w:color w:val="000000"/>
          <w:sz w:val="20"/>
          <w:szCs w:val="20"/>
          <w:u w:val="single"/>
        </w:rPr>
        <w:t>1234</w:t>
      </w:r>
    </w:p>
    <w:p>
      <w:pPr>
        <w:pStyle w:val="Normal"/>
        <w:rPr>
          <w:rFonts w:ascii="Verdana" w:hAnsi="Verdana"/>
          <w:color w:val="000000"/>
          <w:sz w:val="20"/>
          <w:szCs w:val="20"/>
        </w:rPr>
      </w:pPr>
      <w:r>
        <w:rPr>
          <w:rFonts w:ascii="Verdana" w:hAnsi="Verdana"/>
          <w:color w:val="000000"/>
          <w:sz w:val="20"/>
          <w:szCs w:val="20"/>
        </w:rPr>
      </w:r>
    </w:p>
    <w:p>
      <w:pPr>
        <w:pStyle w:val="Normal"/>
        <w:rPr>
          <w:rFonts w:ascii="Verdana" w:hAnsi="Verdana"/>
          <w:color w:val="000000"/>
          <w:sz w:val="20"/>
          <w:szCs w:val="20"/>
        </w:rPr>
      </w:pPr>
      <w:r>
        <w:rPr>
          <w:rFonts w:ascii="Verdana" w:hAnsi="Verdana"/>
          <w:b/>
          <w:bCs/>
          <w:color w:val="000000"/>
          <w:sz w:val="20"/>
          <w:szCs w:val="20"/>
        </w:rPr>
        <w:t>10. norma tygodniowa względem ilości korzystających osób:</w:t>
      </w:r>
      <w:r>
        <w:rPr>
          <w:rFonts w:ascii="Verdana" w:hAnsi="Verdana"/>
          <w:color w:val="000000"/>
          <w:sz w:val="20"/>
          <w:szCs w:val="20"/>
        </w:rPr>
        <w:t xml:space="preserve"> 1234 x 2l* = </w:t>
      </w:r>
      <w:r>
        <w:rPr>
          <w:rFonts w:ascii="Verdana" w:hAnsi="Verdana"/>
          <w:color w:val="000000"/>
          <w:sz w:val="20"/>
          <w:szCs w:val="20"/>
          <w:u w:val="single"/>
        </w:rPr>
        <w:t>2468l</w:t>
      </w:r>
    </w:p>
    <w:p>
      <w:pPr>
        <w:pStyle w:val="Normal"/>
        <w:rPr>
          <w:rFonts w:ascii="Verdana" w:hAnsi="Verdana"/>
          <w:color w:val="000000"/>
          <w:sz w:val="20"/>
          <w:szCs w:val="20"/>
        </w:rPr>
      </w:pPr>
      <w:r>
        <w:rPr>
          <w:rFonts w:ascii="Verdana" w:hAnsi="Verdana"/>
          <w:color w:val="000000"/>
          <w:sz w:val="20"/>
          <w:szCs w:val="20"/>
        </w:rPr>
      </w:r>
    </w:p>
    <w:p>
      <w:pPr>
        <w:pStyle w:val="Normal"/>
        <w:rPr>
          <w:rFonts w:ascii="Verdana" w:hAnsi="Verdana"/>
          <w:color w:val="000000"/>
          <w:sz w:val="20"/>
          <w:szCs w:val="20"/>
        </w:rPr>
      </w:pPr>
      <w:r>
        <w:rPr>
          <w:rFonts w:ascii="Verdana" w:hAnsi="Verdana"/>
          <w:color w:val="000000"/>
          <w:sz w:val="20"/>
          <w:szCs w:val="20"/>
        </w:rPr>
        <w:t>* Zgodnie z Regulaminem utrzymania czystości i porządku na terenie miasta Jelenia Góra, norma tygodniowa dla szkół, żłobków, przedszkoli i innych placówek oświatowych, zakładów poprawczych, schronisk dla nieletnich itp. - w zależności od potrzeb, jednak co najmniej 2l na osobę.</w:t>
      </w:r>
    </w:p>
    <w:p>
      <w:pPr>
        <w:pStyle w:val="Normal"/>
        <w:rPr>
          <w:rFonts w:ascii="Verdana" w:hAnsi="Verdana"/>
          <w:b w:val="false"/>
          <w:b w:val="false"/>
          <w:bCs w:val="false"/>
          <w:sz w:val="20"/>
          <w:szCs w:val="20"/>
        </w:rPr>
      </w:pPr>
      <w:r>
        <w:rPr>
          <w:rFonts w:ascii="Verdana" w:hAnsi="Verdana"/>
          <w:b w:val="false"/>
          <w:bCs w:val="false"/>
          <w:sz w:val="20"/>
          <w:szCs w:val="20"/>
        </w:rPr>
      </w:r>
    </w:p>
    <w:p>
      <w:pPr>
        <w:pStyle w:val="Normal"/>
        <w:rPr>
          <w:rFonts w:ascii="Verdana" w:hAnsi="Verdana"/>
          <w:b/>
          <w:b/>
          <w:bCs/>
          <w:sz w:val="20"/>
          <w:szCs w:val="20"/>
        </w:rPr>
      </w:pPr>
      <w:r>
        <w:rPr>
          <w:rFonts w:ascii="Verdana" w:hAnsi="Verdana"/>
          <w:b/>
          <w:bCs/>
          <w:sz w:val="20"/>
          <w:szCs w:val="20"/>
        </w:rPr>
      </w:r>
    </w:p>
    <w:p>
      <w:pPr>
        <w:pStyle w:val="Normal"/>
        <w:rPr>
          <w:rFonts w:ascii="Verdana" w:hAnsi="Verdana"/>
          <w:b/>
          <w:b/>
          <w:bCs/>
          <w:sz w:val="20"/>
          <w:szCs w:val="20"/>
        </w:rPr>
      </w:pPr>
      <w:r>
        <w:rPr>
          <w:rFonts w:ascii="Verdana" w:hAnsi="Verdana"/>
          <w:b/>
          <w:bCs/>
          <w:sz w:val="20"/>
          <w:szCs w:val="20"/>
        </w:rPr>
      </w:r>
    </w:p>
    <w:p>
      <w:pPr>
        <w:pStyle w:val="Normal"/>
        <w:rPr>
          <w:rFonts w:ascii="Verdana" w:hAnsi="Verdana"/>
          <w:b/>
          <w:b/>
          <w:bCs/>
          <w:sz w:val="20"/>
          <w:szCs w:val="20"/>
        </w:rPr>
      </w:pPr>
      <w:r>
        <w:rPr>
          <w:rFonts w:ascii="Verdana" w:hAnsi="Verdana"/>
          <w:b/>
          <w:bCs/>
          <w:sz w:val="20"/>
          <w:szCs w:val="20"/>
        </w:rPr>
      </w:r>
    </w:p>
    <w:p>
      <w:pPr>
        <w:pStyle w:val="Normal"/>
        <w:rPr>
          <w:rFonts w:ascii="Verdana" w:hAnsi="Verdana"/>
          <w:b/>
          <w:b/>
          <w:bCs/>
          <w:sz w:val="20"/>
          <w:szCs w:val="20"/>
        </w:rPr>
      </w:pPr>
      <w:r>
        <w:rPr>
          <w:rFonts w:ascii="Verdana" w:hAnsi="Verdana"/>
          <w:b/>
          <w:bCs/>
          <w:sz w:val="20"/>
          <w:szCs w:val="20"/>
        </w:rPr>
      </w:r>
    </w:p>
    <w:p>
      <w:pPr>
        <w:pStyle w:val="Normal"/>
        <w:rPr>
          <w:rFonts w:ascii="Verdana" w:hAnsi="Verdana"/>
          <w:b w:val="false"/>
          <w:b w:val="false"/>
          <w:bCs w:val="false"/>
          <w:sz w:val="20"/>
          <w:szCs w:val="20"/>
        </w:rPr>
      </w:pPr>
      <w:r>
        <w:rPr>
          <w:rFonts w:ascii="Verdana" w:hAnsi="Verdana"/>
          <w:b w:val="false"/>
          <w:bCs w:val="false"/>
          <w:sz w:val="20"/>
          <w:szCs w:val="20"/>
        </w:rPr>
      </w:r>
    </w:p>
    <w:p>
      <w:pPr>
        <w:pStyle w:val="Normal"/>
        <w:rPr>
          <w:rFonts w:ascii="Verdana" w:hAnsi="Verdana"/>
          <w:b w:val="false"/>
          <w:b w:val="false"/>
          <w:bCs w:val="false"/>
          <w:sz w:val="20"/>
          <w:szCs w:val="20"/>
        </w:rPr>
      </w:pPr>
      <w:r>
        <w:rPr>
          <w:rFonts w:ascii="Verdana" w:hAnsi="Verdana"/>
          <w:b w:val="false"/>
          <w:bCs w:val="false"/>
          <w:sz w:val="20"/>
          <w:szCs w:val="20"/>
        </w:rPr>
      </w:r>
    </w:p>
    <w:p>
      <w:pPr>
        <w:pStyle w:val="Normal"/>
        <w:rPr>
          <w:rFonts w:ascii="Verdana" w:hAnsi="Verdana"/>
          <w:b w:val="false"/>
          <w:b w:val="false"/>
          <w:bCs w:val="false"/>
          <w:sz w:val="18"/>
          <w:szCs w:val="18"/>
        </w:rPr>
      </w:pPr>
      <w:r>
        <w:rPr>
          <w:rFonts w:ascii="Verdana" w:hAnsi="Verdana"/>
          <w:b w:val="false"/>
          <w:bCs w:val="false"/>
          <w:sz w:val="18"/>
          <w:szCs w:val="18"/>
        </w:rPr>
      </w:r>
    </w:p>
    <w:p>
      <w:pPr>
        <w:pStyle w:val="Normal"/>
        <w:rPr>
          <w:rFonts w:ascii="Verdana" w:hAnsi="Verdana"/>
          <w:b w:val="false"/>
          <w:b w:val="false"/>
          <w:bCs w:val="false"/>
          <w:sz w:val="18"/>
          <w:szCs w:val="18"/>
        </w:rPr>
      </w:pPr>
      <w:r>
        <w:rPr>
          <w:rFonts w:ascii="Verdana" w:hAnsi="Verdana"/>
          <w:b w:val="false"/>
          <w:bCs w:val="false"/>
          <w:sz w:val="18"/>
          <w:szCs w:val="18"/>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Verdana">
    <w:charset w:val="ee"/>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0"/>
        <w:szCs w:val="24"/>
        <w:lang w:val="pl-PL" w:eastAsia="zh-CN" w:bidi="hi-IN"/>
      </w:rPr>
    </w:rPrDefault>
    <w:pPrDefault>
      <w:pPr/>
    </w:pPrDefault>
  </w:docDefaults>
  <w:style w:type="paragraph" w:styleId="Normal">
    <w:name w:val="Normal"/>
    <w:qFormat/>
    <w:pPr>
      <w:widowControl w:val="false"/>
      <w:overflowPunct w:val="true"/>
      <w:bidi w:val="0"/>
      <w:jc w:val="left"/>
    </w:pPr>
    <w:rPr>
      <w:rFonts w:ascii="Liberation Serif" w:hAnsi="Liberation Serif" w:eastAsia="SimSun" w:cs="Mangal"/>
      <w:color w:val="00000A"/>
      <w:sz w:val="24"/>
      <w:szCs w:val="24"/>
      <w:lang w:val="pl-PL" w:eastAsia="zh-CN" w:bidi="hi-IN"/>
    </w:rPr>
  </w:style>
  <w:style w:type="paragraph" w:styleId="Nagwek1">
    <w:name w:val="Nagłówek 1"/>
    <w:basedOn w:val="Nagwek"/>
    <w:pPr>
      <w:spacing w:before="240" w:after="120"/>
      <w:outlineLvl w:val="0"/>
    </w:pPr>
    <w:rPr>
      <w:b/>
      <w:bCs/>
      <w:sz w:val="36"/>
      <w:szCs w:val="36"/>
    </w:rPr>
  </w:style>
  <w:style w:type="paragraph" w:styleId="Nagwek2">
    <w:name w:val="Nagłówek 2"/>
    <w:basedOn w:val="Nagwek"/>
    <w:pPr>
      <w:spacing w:before="200" w:after="120"/>
      <w:outlineLvl w:val="1"/>
    </w:pPr>
    <w:rPr>
      <w:b/>
      <w:bCs/>
      <w:sz w:val="32"/>
      <w:szCs w:val="32"/>
    </w:rPr>
  </w:style>
  <w:style w:type="paragraph" w:styleId="Nagwek3">
    <w:name w:val="Nagłówek 3"/>
    <w:basedOn w:val="Nagwek"/>
    <w:pPr>
      <w:spacing w:before="140" w:after="120"/>
      <w:outlineLvl w:val="2"/>
    </w:pPr>
    <w:rPr>
      <w:b/>
      <w:bCs/>
      <w:sz w:val="28"/>
      <w:szCs w:val="28"/>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Cytaty">
    <w:name w:val="Cytaty"/>
    <w:basedOn w:val="Normal"/>
    <w:qFormat/>
    <w:pPr>
      <w:spacing w:before="0" w:after="283"/>
      <w:ind w:left="567" w:right="567" w:hanging="0"/>
    </w:pPr>
    <w:rPr/>
  </w:style>
  <w:style w:type="paragraph" w:styleId="Tytu">
    <w:name w:val="Tytuł"/>
    <w:basedOn w:val="Nagwek"/>
    <w:pPr>
      <w:jc w:val="center"/>
    </w:pPr>
    <w:rPr>
      <w:b/>
      <w:bCs/>
      <w:sz w:val="56"/>
      <w:szCs w:val="56"/>
    </w:rPr>
  </w:style>
  <w:style w:type="paragraph" w:styleId="Podtytu">
    <w:name w:val="Podtytuł"/>
    <w:basedOn w:val="Nagwek"/>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107</TotalTime>
  <Application>LibreOffice/5.0.3.2$Windows_x86 LibreOffice_project/e5f16313668ac592c1bfb310f4390624e3dbfb75</Application>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2016-03-11T08:26:31Z</dcterms:created>
  <dc:language>pl-PL</dc:language>
  <cp:lastPrinted>2016-08-05T12:54:54Z</cp:lastPrinted>
  <dcterms:modified xsi:type="dcterms:W3CDTF">2016-08-05T12:55:28Z</dcterms:modified>
  <cp:revision>10</cp:revision>
</cp:coreProperties>
</file>