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Verdana" w:hAnsi="Verdana"/>
          <w:b/>
          <w:bCs/>
          <w:sz w:val="20"/>
          <w:szCs w:val="20"/>
        </w:rPr>
        <w:t>Zadanie IV:</w:t>
      </w:r>
    </w:p>
    <w:p>
      <w:pPr>
        <w:pStyle w:val="Normal"/>
        <w:rPr/>
      </w:pPr>
      <w:r>
        <w:rPr>
          <w:rFonts w:ascii="Verdana" w:hAnsi="Verdana"/>
          <w:b/>
          <w:bCs/>
          <w:sz w:val="20"/>
          <w:szCs w:val="20"/>
        </w:rPr>
        <w:t>Szkoła Podstawowa nr 6, ul. Cieplicka 74, 58-560 Jelenia Góra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(dz. nr 7, AM 4, Obręb 0004)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bCs/>
          <w:color w:val="000000"/>
          <w:sz w:val="20"/>
          <w:szCs w:val="20"/>
        </w:rPr>
        <w:t>1. lokalizacja -</w:t>
      </w:r>
      <w:r>
        <w:rPr>
          <w:rFonts w:ascii="Verdana" w:hAnsi="Verdana"/>
          <w:color w:val="000000"/>
          <w:sz w:val="20"/>
          <w:szCs w:val="20"/>
        </w:rPr>
        <w:t xml:space="preserve"> obecna lokalizacja pojemników na odpady jest prawidłowa, jednak teren jest stosunkowo niewielki i może być problematyczny do zaprojektowania boks</w:t>
      </w:r>
      <w:r>
        <w:rPr>
          <w:rFonts w:ascii="Verdana" w:hAnsi="Verdana"/>
          <w:color w:val="000000"/>
          <w:sz w:val="20"/>
          <w:szCs w:val="20"/>
        </w:rPr>
        <w:t xml:space="preserve">ów; </w:t>
      </w:r>
      <w:r>
        <w:rPr>
          <w:rFonts w:ascii="Verdana" w:hAnsi="Verdana"/>
          <w:color w:val="000000"/>
          <w:sz w:val="20"/>
          <w:szCs w:val="20"/>
        </w:rPr>
        <w:t>obecna lokalizacja mieści się przy bramie wejściowej/wjazdowej na teren szkoły, niewielka odległość od granicy działki, pojemniki znajdują się tuż przy ciągu komunikacyjnym. Proponowane nowe miejsce pod bok</w:t>
      </w:r>
      <w:r>
        <w:rPr>
          <w:rFonts w:ascii="Verdana" w:hAnsi="Verdana"/>
          <w:color w:val="000000"/>
          <w:sz w:val="20"/>
          <w:szCs w:val="20"/>
        </w:rPr>
        <w:t>y</w:t>
      </w:r>
      <w:r>
        <w:rPr>
          <w:rFonts w:ascii="Verdana" w:hAnsi="Verdana"/>
          <w:color w:val="000000"/>
          <w:sz w:val="20"/>
          <w:szCs w:val="20"/>
        </w:rPr>
        <w:t xml:space="preserve"> znajduje się przy bramie wjazdowej do „Orlika” – proponowana lokalizacja przedstawiona  kolorem zielonym na załączonej mapie .</w:t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color w:val="FF3333"/>
          <w:sz w:val="20"/>
          <w:szCs w:val="20"/>
        </w:rPr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 dojazd do punktu i zakres robót –</w:t>
      </w:r>
      <w:r>
        <w:rPr>
          <w:rFonts w:ascii="Verdana" w:hAnsi="Verdana"/>
          <w:color w:val="000000"/>
          <w:sz w:val="20"/>
          <w:szCs w:val="20"/>
        </w:rPr>
        <w:t xml:space="preserve"> dojazd do punktu jest dogodny, prowadzi z głównej ulicy, bez konieczności obniżania krawężników, brama używana jako droga do Orlika.</w:t>
      </w:r>
      <w:r>
        <w:rPr>
          <w:rFonts w:ascii="Verdana" w:hAnsi="Verdana"/>
          <w:color w:val="FF3333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Dojazd wybrukowany kostką „kratką”, należy sprawdzić czy wytrzyma użytkowanie przez ciężki pojazd. Teren pod boks nieutwardzony – trawnik, teren równy.</w:t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color w:val="FF3333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3. dostępny teren –</w:t>
      </w:r>
      <w:r>
        <w:rPr>
          <w:rFonts w:ascii="Verdana" w:hAnsi="Verdana"/>
          <w:color w:val="000000"/>
          <w:sz w:val="20"/>
          <w:szCs w:val="20"/>
        </w:rPr>
        <w:t xml:space="preserve"> miejsce ok. 10m x 7m. </w:t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color w:val="FF3333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4. rozbiórka - </w:t>
      </w:r>
      <w:r>
        <w:rPr>
          <w:rFonts w:ascii="Verdana" w:hAnsi="Verdana"/>
          <w:color w:val="000000"/>
          <w:sz w:val="20"/>
          <w:szCs w:val="20"/>
        </w:rPr>
        <w:t>nie ma konieczności rozbiórki infrastruktury,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5. odległość co najmniej 10m od okien:</w:t>
      </w:r>
      <w:r>
        <w:rPr>
          <w:rFonts w:ascii="Verdana" w:hAnsi="Verdana"/>
          <w:color w:val="000000"/>
          <w:sz w:val="20"/>
          <w:szCs w:val="20"/>
        </w:rPr>
        <w:t xml:space="preserve"> tak,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6. 3m od granicy z sąsiednią działką:</w:t>
      </w:r>
      <w:r>
        <w:rPr>
          <w:rFonts w:ascii="Verdana" w:hAnsi="Verdana"/>
          <w:color w:val="000000"/>
          <w:sz w:val="20"/>
          <w:szCs w:val="20"/>
        </w:rPr>
        <w:t xml:space="preserve"> tak,</w:t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color w:val="FF3333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7. odległość miejsc na pojemniki i kontenery nie wynosi więcej niż 80m od najdalszego wejścia do obsługiwanego budynku:</w:t>
      </w:r>
      <w:r>
        <w:rPr>
          <w:rFonts w:ascii="Verdana" w:hAnsi="Verdana"/>
          <w:color w:val="000000"/>
          <w:sz w:val="20"/>
          <w:szCs w:val="20"/>
        </w:rPr>
        <w:t xml:space="preserve"> najdalsze wejście w odległości zbliżonej do 100m.</w:t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color w:val="FF3333"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8. obecnie szkoła korzysta z następujących pojemników (brak prowadzonej selektywnej zbiórki):</w:t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zmieszane 3 pojemniki o pojemności 1100l, 240l, 120l, </w:t>
      </w:r>
    </w:p>
    <w:p>
      <w:pPr>
        <w:pStyle w:val="Normal"/>
        <w:rPr>
          <w:rFonts w:ascii="Verdana" w:hAnsi="Verdana"/>
          <w:color w:val="FF3333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- 1</w:t>
      </w:r>
      <w:r>
        <w:rPr>
          <w:rFonts w:ascii="Verdana" w:hAnsi="Verdana"/>
          <w:color w:val="FF3333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pojemnik na tworzywa sztuczne o pojemności 1100l,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9. ilość osób korzystających z pojemników: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ilość uczących się dzieci (informacja z Wydziału Edukacji i Sportu): 435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ilość zatrudnionych pracowników (wykazanych w deklaracji): 54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łącznie średnia ilość osób korzystających z punktu: </w:t>
      </w:r>
      <w:r>
        <w:rPr>
          <w:rFonts w:ascii="Verdana" w:hAnsi="Verdana"/>
          <w:color w:val="000000"/>
          <w:sz w:val="20"/>
          <w:szCs w:val="20"/>
          <w:u w:val="single"/>
        </w:rPr>
        <w:t>489</w:t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10. norma tygodniowa względem ilości korzystających osób: </w:t>
      </w:r>
      <w:r>
        <w:rPr>
          <w:rFonts w:ascii="Verdana" w:hAnsi="Verdana"/>
          <w:color w:val="000000"/>
          <w:sz w:val="20"/>
          <w:szCs w:val="20"/>
        </w:rPr>
        <w:t xml:space="preserve">489 x 2l* = </w:t>
      </w:r>
      <w:r>
        <w:rPr>
          <w:rFonts w:ascii="Verdana" w:hAnsi="Verdana"/>
          <w:color w:val="000000"/>
          <w:sz w:val="20"/>
          <w:szCs w:val="20"/>
          <w:u w:val="single"/>
        </w:rPr>
        <w:t>978l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* Zgodnie z Regulaminem utrzymania czystości i porządku na terenie miasta Jelenia Góra, norma tygodniowa dla szkół, żłobków, przedszkoli i innych placówek oświatowych, zakładów poprawczych, schronisk dla nieletnich itp. - w zależności od potrzeb, jednak co najmniej 2l na osobę.</w:t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1">
    <w:name w:val="Nagłówek 1"/>
    <w:basedOn w:val="Nagwek"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Nagłówek 2"/>
    <w:basedOn w:val="Nagwek"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Nagłówek 3"/>
    <w:basedOn w:val="Nagwek"/>
    <w:pPr>
      <w:spacing w:before="140" w:after="120"/>
      <w:outlineLvl w:val="2"/>
    </w:pPr>
    <w:rPr>
      <w:b/>
      <w:bCs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ytuł"/>
    <w:basedOn w:val="Nagwek"/>
    <w:pPr>
      <w:jc w:val="center"/>
    </w:pPr>
    <w:rPr>
      <w:b/>
      <w:bCs/>
      <w:sz w:val="56"/>
      <w:szCs w:val="56"/>
    </w:rPr>
  </w:style>
  <w:style w:type="paragraph" w:styleId="Podtytu">
    <w:name w:val="Podtytuł"/>
    <w:basedOn w:val="Nagwek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104</TotalTime>
  <Application>LibreOffice/5.0.3.2$Windows_x86 LibreOffice_project/e5f16313668ac592c1bfb310f4390624e3dbfb75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2016-03-11T08:26:31Z</dcterms:created>
  <dc:language>pl-PL</dc:language>
  <cp:lastPrinted>2016-08-05T13:00:58Z</cp:lastPrinted>
  <dcterms:modified xsi:type="dcterms:W3CDTF">2016-08-05T13:01:03Z</dcterms:modified>
  <cp:revision>9</cp:revision>
</cp:coreProperties>
</file>